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use-case register</w:t>
      </w:r>
    </w:p>
    <w:p>
      <w:pPr>
        <w:spacing w:after="160"/>
      </w:pPr>
      <w:r>
        <w:t xml:space="preserve">Work through the prompts with the people who own the process. Record evidence and open questions, then agree who will act and by when.</w:t>
      </w:r>
    </w:p>
    <w:p>
      <w:pPr>
        <w:pStyle w:val="Heading1"/>
      </w:pPr>
      <w:r>
        <w:t xml:space="preserve">01  Identify the use</w:t>
      </w:r>
    </w:p>
    <w:p>
      <w:pPr>
        <w:spacing w:after="100"/>
      </w:pPr>
      <w:r>
        <w:t xml:space="preserve">Repeat this record for each use case; maintain a shared index by ID and owner.</w:t>
      </w:r>
    </w:p>
    <w:p>
      <w:pPr>
        <w:keepNext/>
        <w:spacing w:after="50" w:before="140"/>
      </w:pPr>
      <w:r>
        <w:rPr>
          <w:b/>
          <w:bCs/>
        </w:rPr>
        <w:t xml:space="preserve">Identity and purpose</w:t>
      </w:r>
    </w:p>
    <w:p>
      <w:pPr>
        <w:keepNext/>
        <w:spacing w:after="40"/>
      </w:pPr>
      <w:r>
        <w:t xml:space="preserve">Record ID, title, business objective, workflow, affected people, intended benefit and current lifecycle stage.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Accountable ownership</w:t>
      </w:r>
    </w:p>
    <w:p>
      <w:pPr>
        <w:keepNext/>
        <w:spacing w:after="40"/>
      </w:pPr>
      <w:r>
        <w:t xml:space="preserve">Name the business owner, decision authority, delivery owner and human reviewer. Record who can stop the use.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Data and dependencies</w:t>
      </w:r>
    </w:p>
    <w:p>
      <w:pPr>
        <w:keepNext/>
        <w:spacing w:after="40"/>
      </w:pPr>
      <w:r>
        <w:t xml:space="preserve">List data owners, sources, quality requirements, access restrictions, integrations and supplier or model dependencies.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Scope and boundaries</w:t>
      </w:r>
    </w:p>
    <w:p>
      <w:pPr>
        <w:keepNext/>
        <w:spacing w:after="40"/>
      </w:pPr>
      <w:r>
        <w:t xml:space="preserve">Record permitted users, uses and data, prohibited uses and the manual fallback. Link the supplier decision sheet.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use-case register</w:t>
      </w:r>
    </w:p>
    <w:p>
      <w:pPr>
        <w:pStyle w:val="Heading1"/>
      </w:pPr>
      <w:r>
        <w:t xml:space="preserve">02  Assess and approve</w:t>
      </w:r>
    </w:p>
    <w:p>
      <w:pPr>
        <w:spacing w:after="100"/>
      </w:pPr>
      <w:r>
        <w:t xml:space="preserve">Use stages: proposal, assessment, pilot approval, evaluation, operation and review. Record changes and retirement.</w:t>
      </w:r>
    </w:p>
    <w:p>
      <w:pPr>
        <w:keepNext/>
        <w:spacing w:after="50" w:before="140"/>
      </w:pPr>
      <w:r>
        <w:rPr>
          <w:b/>
          <w:bCs/>
        </w:rPr>
        <w:t xml:space="preserve">Risk and oversight</w:t>
      </w:r>
    </w:p>
    <w:p>
      <w:pPr>
        <w:keepNext/>
        <w:spacing w:after="40"/>
      </w:pPr>
      <w:r>
        <w:t xml:space="preserve">Link privacy, security, legal and impact reviews as applicable. Record review standards, exceptions and escalation owners.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Decision and authority</w:t>
      </w:r>
    </w:p>
    <w:p>
      <w:pPr>
        <w:keepNext/>
        <w:spacing w:after="40"/>
      </w:pPr>
      <w:r>
        <w:t xml:space="preserve">Record the requested decision, authorised approver, date, rationale and conditions. Retain the previous decision.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Evidence and missing items</w:t>
      </w:r>
    </w:p>
    <w:p>
      <w:pPr>
        <w:keepNext/>
        <w:spacing w:after="40"/>
      </w:pPr>
      <w:r>
        <w:t xml:space="preserve">Link source records, supplier reviews, baseline measures, test results and open questions, with evidence owners and due dates.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Pilot boundaries</w:t>
      </w:r>
    </w:p>
    <w:p>
      <w:pPr>
        <w:keepNext/>
        <w:spacing w:after="40"/>
      </w:pPr>
      <w:r>
        <w:t xml:space="preserve">Specify test data, participants, duration, acceptance criteria, human review and stop conditions. Link the pilot scorecard.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use-case register</w:t>
      </w:r>
    </w:p>
    <w:p>
      <w:pPr>
        <w:pStyle w:val="Heading1"/>
      </w:pPr>
      <w:r>
        <w:t xml:space="preserve">03  Review the portfolio</w:t>
      </w:r>
    </w:p>
    <w:p>
      <w:pPr>
        <w:spacing w:after="100"/>
      </w:pPr>
      <w:r>
        <w:t xml:space="preserve">Review each record together with the portfolio’s value, capacity and dependencies.</w:t>
      </w:r>
    </w:p>
    <w:p>
      <w:pPr>
        <w:keepNext/>
        <w:spacing w:after="50" w:before="140"/>
      </w:pPr>
      <w:r>
        <w:rPr>
          <w:b/>
          <w:bCs/>
        </w:rPr>
        <w:t xml:space="preserve">Benefits evidence</w:t>
      </w:r>
    </w:p>
    <w:p>
      <w:pPr>
        <w:keepNext/>
        <w:spacing w:after="40"/>
      </w:pPr>
      <w:r>
        <w:t xml:space="preserve">Compare observed quality, total work and review effort, costs and usefulness with the baseline. Distinguish observations from estimates.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Changes and incidents</w:t>
      </w:r>
    </w:p>
    <w:p>
      <w:pPr>
        <w:keepNext/>
        <w:spacing w:after="40"/>
      </w:pPr>
      <w:r>
        <w:t xml:space="preserve">Record supplier or model changes, data changes, incidents and lessons. Identify new approvals, controls or training needed.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Portfolio decision</w:t>
      </w:r>
    </w:p>
    <w:p>
      <w:pPr>
        <w:keepNext/>
        <w:spacing w:after="40"/>
      </w:pPr>
      <w:r>
        <w:t xml:space="preserve">Choose pilot, continue, change, scale or retire. Record rationale, approver, conditions and effects on other use cases.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Follow-up and retirement</w:t>
      </w:r>
    </w:p>
    <w:p>
      <w:pPr>
        <w:keepNext/>
        <w:spacing w:after="40"/>
      </w:pPr>
      <w:r>
        <w:t xml:space="preserve">Assign actions, owners and next review date. For retirement, plan access removal, data handling, supplier exit and a validated fallback.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use-case register</w:t>
      </w:r>
    </w:p>
    <w:p>
      <w:pPr>
        <w:pStyle w:val="Heading1"/>
      </w:pPr>
      <w:r>
        <w:t xml:space="preserve">04  Agent authority</w:t>
      </w:r>
    </w:p>
    <w:p>
      <w:pPr>
        <w:spacing w:after="100"/>
      </w:pPr>
      <w:r>
        <w:t xml:space="preserve">Define the authority granted to this use. A technical specialist must validate that the configured controls enforce it.</w:t>
      </w:r>
    </w:p>
    <w:p>
      <w:pPr>
        <w:keepNext/>
        <w:spacing w:after="50" w:before="140"/>
      </w:pPr>
      <w:r>
        <w:rPr>
          <w:b/>
          <w:bCs/>
        </w:rPr>
        <w:t xml:space="preserve">Actions and authorising owner</w:t>
      </w:r>
    </w:p>
    <w:p>
      <w:pPr>
        <w:keepNext/>
        <w:spacing w:after="40"/>
      </w:pPr>
      <w:r>
        <w:t xml:space="preserve">Name who grants authority, the permitted and prohibited actions and their limits. In the fictional support example, reading approved guidance and drafting are allowed; sending replies and changing customer records are not.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Tool and data permissions</w:t>
      </w:r>
    </w:p>
    <w:p>
      <w:pPr>
        <w:keepNext/>
        <w:spacing w:after="40"/>
      </w:pPr>
      <w:r>
        <w:t xml:space="preserve">List tools, data, account or agent identity and read/write permissions. Name the technical owner and retain a configuration test. Do not assume a user’s full access belongs to the agent.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Approval events and evidence</w:t>
      </w:r>
    </w:p>
    <w:p>
      <w:pPr>
        <w:keepNext/>
        <w:spacing w:after="40"/>
      </w:pPr>
      <w:r>
        <w:t xml:space="preserve">Specify which action needs approval, by whom and on what evidence. Bind approval to the actual action and target; record agent, approver, time, outcome and exceptions with suitable access and retention.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Pause, revoke and reassess</w:t>
      </w:r>
    </w:p>
    <w:p>
      <w:pPr>
        <w:keepNext/>
        <w:spacing w:after="40"/>
      </w:pPr>
      <w:r>
        <w:t xml:space="preserve">Name who can pause actions and revoke delegated access. Check queued/in-flight work, retain logs and define recovery and reauthorisation. Reassess material changes before changed operation.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Background reading: https://adastudio.ch/blog/ai-governance-operating-rhythm</w:t>
      </w:r>
    </w:p>
    <w:p>
      <w:pPr>
        <w:spacing w:before="100"/>
      </w:pPr>
      <w:r>
        <w:t xml:space="preserve">Use and adapt this worksheet within your organisation. Keep the source acknowledgement when sharing an unmodified copy.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en-GB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use-case register</dc:title>
  <dc:creator>Ada Studio</dc:creator>
  <dc:description>Record AI uses and AI agent authority: owners, permitted actions, tool permissions, approvals and activity evidence.</dc:description>
  <cp:lastModifiedBy>Un-named</cp:lastModifiedBy>
  <cp:revision>1</cp:revision>
  <dcterms:created xsi:type="dcterms:W3CDTF">2026-09-13T15:59:25.025Z</dcterms:created>
  <dcterms:modified xsi:type="dcterms:W3CDTF">2026-09-13T15:59:25.025Z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