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Registre des cas d’usage IA</w:t>
      </w:r>
    </w:p>
    <w:p>
      <w:pPr>
        <w:spacing w:after="160"/>
      </w:pPr>
      <w:r>
        <w:t xml:space="preserve">Répondez aux questions avec les responsables du processus. Consignez les preuves et les questions ouvertes, puis convenez des actions, des responsables et des échéances.</w:t>
      </w:r>
    </w:p>
    <w:p>
      <w:pPr>
        <w:pStyle w:val="Heading1"/>
      </w:pPr>
      <w:r>
        <w:t xml:space="preserve">01  Identifier l’usage</w:t>
      </w:r>
    </w:p>
    <w:p>
      <w:pPr>
        <w:spacing w:after="100"/>
      </w:pPr>
      <w:r>
        <w:t xml:space="preserve">Répétez cette fiche par cas d’usage et maintenez un index partagé par identifiant et responsable.</w:t>
      </w:r>
    </w:p>
    <w:p>
      <w:pPr>
        <w:keepNext/>
        <w:spacing w:after="50" w:before="140"/>
      </w:pPr>
      <w:r>
        <w:rPr>
          <w:b/>
          <w:bCs/>
        </w:rPr>
        <w:t xml:space="preserve">Identité et finalité</w:t>
      </w:r>
    </w:p>
    <w:p>
      <w:pPr>
        <w:keepNext/>
        <w:spacing w:after="40"/>
      </w:pPr>
      <w:r>
        <w:t xml:space="preserve">Consignez identifiant, titre, objectif métier, workflow, personnes concernées, bénéfice attendu et étape du cycle de vie.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Responsabilités</w:t>
      </w:r>
    </w:p>
    <w:p>
      <w:pPr>
        <w:keepNext/>
        <w:spacing w:after="40"/>
      </w:pPr>
      <w:r>
        <w:t xml:space="preserve">Nommez responsable métier, autorité de décision, responsable de réalisation et personne chargée de la revue humaine. Qui peut arrêter l’usage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Données et dépendances</w:t>
      </w:r>
    </w:p>
    <w:p>
      <w:pPr>
        <w:keepNext/>
        <w:spacing w:after="40"/>
      </w:pPr>
      <w:r>
        <w:t xml:space="preserve">Listez responsables des données, sources, exigences de qualité, restrictions d’accès, intégrations et dépendances fournisseurs ou modèles.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Périmètre et limites</w:t>
      </w:r>
    </w:p>
    <w:p>
      <w:pPr>
        <w:keepNext/>
        <w:spacing w:after="40"/>
      </w:pPr>
      <w:r>
        <w:t xml:space="preserve">Consignez utilisateurs, usages et données autorisés, usages interdits et solution manuelle de repli. Reliez la fiche de décision fournisseur.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Registre des cas d’usage IA</w:t>
      </w:r>
    </w:p>
    <w:p>
      <w:pPr>
        <w:pStyle w:val="Heading1"/>
      </w:pPr>
      <w:r>
        <w:t xml:space="preserve">02  Évaluer et approuver</w:t>
      </w:r>
    </w:p>
    <w:p>
      <w:pPr>
        <w:spacing w:after="100"/>
      </w:pPr>
      <w:r>
        <w:t xml:space="preserve">Étapes : proposition, analyse, approbation du pilote, évaluation, exploitation et revue. Consignez modifications et retrait.</w:t>
      </w:r>
    </w:p>
    <w:p>
      <w:pPr>
        <w:keepNext/>
        <w:spacing w:after="50" w:before="140"/>
      </w:pPr>
      <w:r>
        <w:rPr>
          <w:b/>
          <w:bCs/>
        </w:rPr>
        <w:t xml:space="preserve">Risques et supervision</w:t>
      </w:r>
    </w:p>
    <w:p>
      <w:pPr>
        <w:keepNext/>
        <w:spacing w:after="40"/>
      </w:pPr>
      <w:r>
        <w:t xml:space="preserve">Reliez les revues de confidentialité, sécurité, droit et impact nécessaires. Consignez standards de revue, dérogations et responsables d’escalade.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Décision et autorité</w:t>
      </w:r>
    </w:p>
    <w:p>
      <w:pPr>
        <w:keepNext/>
        <w:spacing w:after="40"/>
      </w:pPr>
      <w:r>
        <w:t xml:space="preserve">Consignez décision demandée, approbateur habilité, date, motifs et conditions. Conservez la décision précédente.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Preuves et points ouverts</w:t>
      </w:r>
    </w:p>
    <w:p>
      <w:pPr>
        <w:keepNext/>
        <w:spacing w:after="40"/>
      </w:pPr>
      <w:r>
        <w:t xml:space="preserve">Reliez sources, revues fournisseurs, référence, résultats de test et questions ouvertes, avec responsables des preuves et échéances.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Limites du pilote</w:t>
      </w:r>
    </w:p>
    <w:p>
      <w:pPr>
        <w:keepNext/>
        <w:spacing w:after="40"/>
      </w:pPr>
      <w:r>
        <w:t xml:space="preserve">Précisez données de test, participants, durée, critères d’acceptation, revue humaine et conditions d’arrêt. Reliez la fiche d’évaluation du pilote.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Registre des cas d’usage IA</w:t>
      </w:r>
    </w:p>
    <w:p>
      <w:pPr>
        <w:pStyle w:val="Heading1"/>
      </w:pPr>
      <w:r>
        <w:t xml:space="preserve">03  Revoir le portefeuille</w:t>
      </w:r>
    </w:p>
    <w:p>
      <w:pPr>
        <w:spacing w:after="100"/>
      </w:pPr>
      <w:r>
        <w:t xml:space="preserve">Examinez chaque fiche avec la valeur, les capacités et les dépendances du portefeuille.</w:t>
      </w:r>
    </w:p>
    <w:p>
      <w:pPr>
        <w:keepNext/>
        <w:spacing w:after="50" w:before="140"/>
      </w:pPr>
      <w:r>
        <w:rPr>
          <w:b/>
          <w:bCs/>
        </w:rPr>
        <w:t xml:space="preserve">Preuves de bénéfice</w:t>
      </w:r>
    </w:p>
    <w:p>
      <w:pPr>
        <w:keepNext/>
        <w:spacing w:after="40"/>
      </w:pPr>
      <w:r>
        <w:t xml:space="preserve">Comparez qualité observée, effort total et revue, coûts et utilité à la référence. Distinguez observations et estimations.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Changements et incidents</w:t>
      </w:r>
    </w:p>
    <w:p>
      <w:pPr>
        <w:keepNext/>
        <w:spacing w:after="40"/>
      </w:pPr>
      <w:r>
        <w:t xml:space="preserve">Consignez changements de fournisseur, modèle ou données, incidents et enseignements. Identifiez nouvelles approbations, mesures ou formations.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Décision de portefeuille</w:t>
      </w:r>
    </w:p>
    <w:p>
      <w:pPr>
        <w:keepNext/>
        <w:spacing w:after="40"/>
      </w:pPr>
      <w:r>
        <w:t xml:space="preserve">Choisissez tester, poursuivre, modifier, étendre ou retirer. Consignez motifs, approbateur, conditions et effets sur les autres usages.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Suivi et retrait</w:t>
      </w:r>
    </w:p>
    <w:p>
      <w:pPr>
        <w:keepNext/>
        <w:spacing w:after="40"/>
      </w:pPr>
      <w:r>
        <w:t xml:space="preserve">Attribuez actions, responsables et prochaine revue. Pour le retrait, prévoyez suppression des accès, traitement des données, sortie fournisseur et repli validé.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Registre des cas d’usage IA</w:t>
      </w:r>
    </w:p>
    <w:p>
      <w:pPr>
        <w:pStyle w:val="Heading1"/>
      </w:pPr>
      <w:r>
        <w:t xml:space="preserve">04  Autorité de l’agent</w:t>
      </w:r>
    </w:p>
    <w:p>
      <w:pPr>
        <w:spacing w:after="100"/>
      </w:pPr>
      <w:r>
        <w:t xml:space="preserve">Définissez l’autorité accordée. Un spécialiste technique doit valider son application par les contrôles configurés.</w:t>
      </w:r>
    </w:p>
    <w:p>
      <w:pPr>
        <w:keepNext/>
        <w:spacing w:after="50" w:before="140"/>
      </w:pPr>
      <w:r>
        <w:rPr>
          <w:b/>
          <w:bCs/>
        </w:rPr>
        <w:t xml:space="preserve">Actions et responsable habilité</w:t>
      </w:r>
    </w:p>
    <w:p>
      <w:pPr>
        <w:keepNext/>
        <w:spacing w:after="40"/>
      </w:pPr>
      <w:r>
        <w:t xml:space="preserve">Qui accorde l’autorité ? Quelles actions sont permises ou interdites ? Dans l’exemple fictif de service client, lire les consignes approuvées et rédiger sont permis ; envoyer et modifier les dossiers clients sont interdits.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Permissions des outils et données</w:t>
      </w:r>
    </w:p>
    <w:p>
      <w:pPr>
        <w:keepNext/>
        <w:spacing w:after="40"/>
      </w:pPr>
      <w:r>
        <w:t xml:space="preserve">Listez outils, données, identité du compte ou de l’agent et droits de lecture/écriture. Nommez le responsable technique et conservez un test de configuration. Les droits complets d’un utilisateur ne sont pas automatiquement ceux de l’agent.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Événements d’approbation et preuves</w:t>
      </w:r>
    </w:p>
    <w:p>
      <w:pPr>
        <w:keepNext/>
        <w:spacing w:after="40"/>
      </w:pPr>
      <w:r>
        <w:t xml:space="preserve">Quelle action nécessite l’approbation de qui, sur quelles preuves ? Liez l’approbation à l’action et à sa cible. Consignez agent, approbateur, heure, résultat et exceptions avec des règles d’accès et de conservation adaptées.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Suspendre, révoquer et réévaluer</w:t>
      </w:r>
    </w:p>
    <w:p>
      <w:pPr>
        <w:keepNext/>
        <w:spacing w:after="40"/>
      </w:pPr>
      <w:r>
        <w:t xml:space="preserve">Qui peut suspendre les actions et révoquer les accès délégués ? Vérifiez les tâches en attente/en cours, conservez les journaux et définissez reprise et réautorisation. Réévaluez les changements substantiels avant le fonctionnement modifié.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Lecture complémentaire: https://adastudio.ch/fr/blog/ai-governance-operating-rhythm</w:t>
      </w:r>
    </w:p>
    <w:p>
      <w:pPr>
        <w:spacing w:before="100"/>
      </w:pPr>
      <w:r>
        <w:t xml:space="preserve">Vous pouvez utiliser et adapter cette fiche dans votre organisation. Conservez la mention de source lorsque vous partagez une copie non modifiée.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fr-CH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Registre des cas d’usage IA</dc:title>
  <dc:creator>Ada Studio</dc:creator>
  <dc:description>Consigner usages IA et autorité des agents IA : responsables, actions, permissions des outils, approbations et preuves d’activité.</dc:description>
  <cp:lastModifiedBy>Un-named</cp:lastModifiedBy>
  <cp:revision>1</cp:revision>
  <dcterms:created xsi:type="dcterms:W3CDTF">2026-09-13T15:59:28.817Z</dcterms:created>
  <dcterms:modified xsi:type="dcterms:W3CDTF">2026-09-13T15:59:28.817Z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