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80"/>
      </w:pPr>
      <w:r>
        <w:rPr>
          <w:color w:val="46586B"/>
          <w:sz w:val="17"/>
          <w:szCs w:val="17"/>
        </w:rPr>
        <w:t xml:space="preserve">ADA STUDIO  /  Septembre 2026 · Version 1.2</w:t>
      </w:r>
    </w:p>
    <w:p>
      <w:pPr>
        <w:pStyle w:val="Title"/>
      </w:pPr>
      <w:r>
        <w:t xml:space="preserve">Fiche d’évaluation d’un fournisseur IA</w:t>
      </w:r>
    </w:p>
    <w:p>
      <w:pPr>
        <w:spacing w:after="160"/>
      </w:pPr>
      <w:r>
        <w:t xml:space="preserve">Répondez aux questions avec les responsables du processus. Consignez les preuves et les questions ouvertes, puis convenez des actions, des responsables et des échéances.</w:t>
      </w:r>
    </w:p>
    <w:p>
      <w:pPr>
        <w:pStyle w:val="Heading1"/>
      </w:pPr>
      <w:r>
        <w:t xml:space="preserve">01  Définir l’utilisation prévue</w:t>
      </w:r>
    </w:p>
    <w:p>
      <w:pPr>
        <w:spacing w:after="100"/>
      </w:pPr>
      <w:r>
        <w:t xml:space="preserve">Commencez par le travail et les personnes concernées avant de comparer les fonctionnalités.</w:t>
      </w:r>
    </w:p>
    <w:p>
      <w:pPr>
        <w:keepNext/>
        <w:spacing w:after="50" w:before="140"/>
      </w:pPr>
      <w:r>
        <w:rPr>
          <w:b/>
          <w:bCs/>
        </w:rPr>
        <w:t xml:space="preserve">Outil et usage prévu</w:t>
      </w:r>
    </w:p>
    <w:p>
      <w:pPr>
        <w:keepNext/>
        <w:spacing w:after="40"/>
      </w:pPr>
      <w:r>
        <w:t xml:space="preserve">Indiquez le fournisseur, le produit, la version ou l’offre, le processus prévu et le bénéfice attendu.</w:t>
      </w:r>
    </w:p>
    <w:p>
      <w:pPr>
        <w:pBdr>
          <w:bottom w:val="single" w:color="9DB6C9" w:sz="3"/>
        </w:pBdr>
        <w:spacing w:after="15" w:line="240"/>
      </w:pPr>
    </w:p>
    <w:p>
      <w:pPr>
        <w:pBdr>
          <w:bottom w:val="single" w:color="9DB6C9" w:sz="3"/>
        </w:pBdr>
        <w:spacing w:after="15" w:line="240"/>
      </w:pPr>
    </w:p>
    <w:p>
      <w:pPr>
        <w:pBdr>
          <w:bottom w:val="single" w:color="9DB6C9" w:sz="3"/>
        </w:pBdr>
        <w:spacing w:after="15" w:line="240"/>
      </w:pPr>
    </w:p>
    <w:p>
      <w:pPr>
        <w:keepNext/>
        <w:spacing w:after="50" w:before="140"/>
      </w:pPr>
      <w:r>
        <w:rPr>
          <w:b/>
          <w:bCs/>
        </w:rPr>
        <w:t xml:space="preserve">Responsable et participants</w:t>
      </w:r>
    </w:p>
    <w:p>
      <w:pPr>
        <w:keepNext/>
        <w:spacing w:after="40"/>
      </w:pPr>
      <w:r>
        <w:t xml:space="preserve">Nommez le responsable métier, les utilisateurs et les personnes chargées de la sécurité, de la confidentialité et des achats.</w:t>
      </w:r>
    </w:p>
    <w:p>
      <w:pPr>
        <w:pBdr>
          <w:bottom w:val="single" w:color="9DB6C9" w:sz="3"/>
        </w:pBdr>
        <w:spacing w:after="15" w:line="240"/>
      </w:pPr>
    </w:p>
    <w:p>
      <w:pPr>
        <w:pBdr>
          <w:bottom w:val="single" w:color="9DB6C9" w:sz="3"/>
        </w:pBdr>
        <w:spacing w:after="15" w:line="240"/>
      </w:pPr>
    </w:p>
    <w:p>
      <w:pPr>
        <w:pBdr>
          <w:bottom w:val="single" w:color="9DB6C9" w:sz="3"/>
        </w:pBdr>
        <w:spacing w:after="15" w:line="240"/>
      </w:pPr>
    </w:p>
    <w:p>
      <w:pPr>
        <w:keepNext/>
        <w:spacing w:after="50" w:before="140"/>
      </w:pPr>
      <w:r>
        <w:rPr>
          <w:b/>
          <w:bCs/>
        </w:rPr>
        <w:t xml:space="preserve">Périmètre et personnes concernées</w:t>
      </w:r>
    </w:p>
    <w:p>
      <w:pPr>
        <w:keepNext/>
        <w:spacing w:after="40"/>
      </w:pPr>
      <w:r>
        <w:t xml:space="preserve">Où le résultat sera-t-il utilisé, qui peut être affecté et quels usages sont exclus de cette évaluation ?</w:t>
      </w:r>
    </w:p>
    <w:p>
      <w:pPr>
        <w:pBdr>
          <w:bottom w:val="single" w:color="9DB6C9" w:sz="3"/>
        </w:pBdr>
        <w:spacing w:after="15" w:line="240"/>
      </w:pPr>
    </w:p>
    <w:p>
      <w:pPr>
        <w:pBdr>
          <w:bottom w:val="single" w:color="9DB6C9" w:sz="3"/>
        </w:pBdr>
        <w:spacing w:after="15" w:line="240"/>
      </w:pPr>
    </w:p>
    <w:p>
      <w:pPr>
        <w:pBdr>
          <w:bottom w:val="single" w:color="9DB6C9" w:sz="3"/>
        </w:pBdr>
        <w:spacing w:after="15" w:line="240"/>
      </w:pPr>
    </w:p>
    <w:p>
      <w:pPr>
        <w:keepNext/>
        <w:spacing w:after="50" w:before="140"/>
      </w:pPr>
      <w:r>
        <w:rPr>
          <w:b/>
          <w:bCs/>
        </w:rPr>
        <w:t xml:space="preserve">Décision et calendrier</w:t>
      </w:r>
    </w:p>
    <w:p>
      <w:pPr>
        <w:keepNext/>
        <w:spacing w:after="40"/>
      </w:pPr>
      <w:r>
        <w:t xml:space="preserve">Quelle décision est demandée, pour quelle date et qui est habilité à l’approuver ?</w:t>
      </w:r>
    </w:p>
    <w:p>
      <w:pPr>
        <w:pBdr>
          <w:bottom w:val="single" w:color="9DB6C9" w:sz="3"/>
        </w:pBdr>
        <w:spacing w:after="15" w:line="240"/>
      </w:pPr>
    </w:p>
    <w:p>
      <w:pPr>
        <w:pBdr>
          <w:bottom w:val="single" w:color="9DB6C9" w:sz="3"/>
        </w:pBdr>
        <w:spacing w:after="15" w:line="240"/>
      </w:pPr>
    </w:p>
    <w:p>
      <w:pPr>
        <w:pBdr>
          <w:bottom w:val="single" w:color="9DB6C9" w:sz="3"/>
        </w:pBdr>
        <w:spacing w:after="15" w:line="240"/>
      </w:pPr>
    </w:p>
    <w:p>
      <w:r>
        <w:br w:type="page"/>
      </w:r>
    </w:p>
    <w:p>
      <w:pPr>
        <w:spacing w:after="180"/>
      </w:pPr>
      <w:r>
        <w:rPr>
          <w:color w:val="46586B"/>
          <w:sz w:val="17"/>
          <w:szCs w:val="17"/>
        </w:rPr>
        <w:t xml:space="preserve">ADA STUDIO  /  Septembre 2026 · Version 1.2</w:t>
      </w:r>
    </w:p>
    <w:p>
      <w:pPr>
        <w:pStyle w:val="Title"/>
      </w:pPr>
      <w:r>
        <w:t xml:space="preserve">Fiche d’évaluation d’un fournisseur IA</w:t>
      </w:r>
    </w:p>
    <w:p>
      <w:pPr>
        <w:pStyle w:val="Heading1"/>
      </w:pPr>
      <w:r>
        <w:t xml:space="preserve">02  Suivre les données</w:t>
      </w:r>
    </w:p>
    <w:p>
      <w:pPr>
        <w:spacing w:after="100"/>
      </w:pPr>
      <w:r>
        <w:t xml:space="preserve">Demandez des conditions écrites ou des preuves. Notez la source et la date de chaque réponse.</w:t>
      </w:r>
    </w:p>
    <w:p>
      <w:pPr>
        <w:keepNext/>
        <w:spacing w:after="50" w:before="140"/>
      </w:pPr>
      <w:r>
        <w:rPr>
          <w:b/>
          <w:bCs/>
        </w:rPr>
        <w:t xml:space="preserve">Données fournies à l’outil</w:t>
      </w:r>
    </w:p>
    <w:p>
      <w:pPr>
        <w:keepNext/>
        <w:spacing w:after="40"/>
      </w:pPr>
      <w:r>
        <w:t xml:space="preserve">Listez les données publiques, internes, confidentielles et personnelles. Précisez ce qui doit rester exclu.</w:t>
      </w:r>
    </w:p>
    <w:p>
      <w:pPr>
        <w:pBdr>
          <w:bottom w:val="single" w:color="9DB6C9" w:sz="3"/>
        </w:pBdr>
        <w:spacing w:after="15" w:line="240"/>
      </w:pPr>
    </w:p>
    <w:p>
      <w:pPr>
        <w:pBdr>
          <w:bottom w:val="single" w:color="9DB6C9" w:sz="3"/>
        </w:pBdr>
        <w:spacing w:after="15" w:line="240"/>
      </w:pPr>
    </w:p>
    <w:p>
      <w:pPr>
        <w:pBdr>
          <w:bottom w:val="single" w:color="9DB6C9" w:sz="3"/>
        </w:pBdr>
        <w:spacing w:after="15" w:line="240"/>
      </w:pPr>
    </w:p>
    <w:p>
      <w:pPr>
        <w:keepNext/>
        <w:spacing w:after="50" w:before="140"/>
      </w:pPr>
      <w:r>
        <w:rPr>
          <w:b/>
          <w:bCs/>
        </w:rPr>
        <w:t xml:space="preserve">Entraînement et réutilisation</w:t>
      </w:r>
    </w:p>
    <w:p>
      <w:pPr>
        <w:keepNext/>
        <w:spacing w:after="40"/>
      </w:pPr>
      <w:r>
        <w:t xml:space="preserve">Les entrées ou résultats peuvent-ils servir à entraîner les modèles ou améliorer le service ? Notez les réglages par défaut et les conditions contractuelles.</w:t>
      </w:r>
    </w:p>
    <w:p>
      <w:pPr>
        <w:pBdr>
          <w:bottom w:val="single" w:color="9DB6C9" w:sz="3"/>
        </w:pBdr>
        <w:spacing w:after="15" w:line="240"/>
      </w:pPr>
    </w:p>
    <w:p>
      <w:pPr>
        <w:pBdr>
          <w:bottom w:val="single" w:color="9DB6C9" w:sz="3"/>
        </w:pBdr>
        <w:spacing w:after="15" w:line="240"/>
      </w:pPr>
    </w:p>
    <w:p>
      <w:pPr>
        <w:pBdr>
          <w:bottom w:val="single" w:color="9DB6C9" w:sz="3"/>
        </w:pBdr>
        <w:spacing w:after="15" w:line="240"/>
      </w:pPr>
    </w:p>
    <w:p>
      <w:pPr>
        <w:keepNext/>
        <w:spacing w:after="50" w:before="140"/>
      </w:pPr>
      <w:r>
        <w:rPr>
          <w:b/>
          <w:bCs/>
        </w:rPr>
        <w:t xml:space="preserve">Lieux et autres prestataires</w:t>
      </w:r>
    </w:p>
    <w:p>
      <w:pPr>
        <w:keepNext/>
        <w:spacing w:after="40"/>
      </w:pPr>
      <w:r>
        <w:t xml:space="preserve">Où les données sont-elles traitées et stockées ? Identifiez les sous-traitants pertinents et les questions à soumettre au responsable de la confidentialité.</w:t>
      </w:r>
    </w:p>
    <w:p>
      <w:pPr>
        <w:pBdr>
          <w:bottom w:val="single" w:color="9DB6C9" w:sz="3"/>
        </w:pBdr>
        <w:spacing w:after="15" w:line="240"/>
      </w:pPr>
    </w:p>
    <w:p>
      <w:pPr>
        <w:pBdr>
          <w:bottom w:val="single" w:color="9DB6C9" w:sz="3"/>
        </w:pBdr>
        <w:spacing w:after="15" w:line="240"/>
      </w:pPr>
    </w:p>
    <w:p>
      <w:pPr>
        <w:pBdr>
          <w:bottom w:val="single" w:color="9DB6C9" w:sz="3"/>
        </w:pBdr>
        <w:spacing w:after="15" w:line="240"/>
      </w:pPr>
    </w:p>
    <w:p>
      <w:pPr>
        <w:keepNext/>
        <w:spacing w:after="50" w:before="140"/>
      </w:pPr>
      <w:r>
        <w:rPr>
          <w:b/>
          <w:bCs/>
        </w:rPr>
        <w:t xml:space="preserve">Conservation et suppression</w:t>
      </w:r>
    </w:p>
    <w:p>
      <w:pPr>
        <w:keepNext/>
        <w:spacing w:after="40"/>
      </w:pPr>
      <w:r>
        <w:t xml:space="preserve">Combien de temps les requêtes, fichiers et résultats sont-ils conservés ? Peut-on les supprimer ou les récupérer, y compris en quittant le service ?</w:t>
      </w:r>
    </w:p>
    <w:p>
      <w:pPr>
        <w:pBdr>
          <w:bottom w:val="single" w:color="9DB6C9" w:sz="3"/>
        </w:pBdr>
        <w:spacing w:after="15" w:line="240"/>
      </w:pPr>
    </w:p>
    <w:p>
      <w:pPr>
        <w:pBdr>
          <w:bottom w:val="single" w:color="9DB6C9" w:sz="3"/>
        </w:pBdr>
        <w:spacing w:after="15" w:line="240"/>
      </w:pPr>
    </w:p>
    <w:p>
      <w:pPr>
        <w:pBdr>
          <w:bottom w:val="single" w:color="9DB6C9" w:sz="3"/>
        </w:pBdr>
        <w:spacing w:after="15" w:line="240"/>
      </w:pPr>
    </w:p>
    <w:p>
      <w:r>
        <w:br w:type="page"/>
      </w:r>
    </w:p>
    <w:p>
      <w:pPr>
        <w:spacing w:after="180"/>
      </w:pPr>
      <w:r>
        <w:rPr>
          <w:color w:val="46586B"/>
          <w:sz w:val="17"/>
          <w:szCs w:val="17"/>
        </w:rPr>
        <w:t xml:space="preserve">ADA STUDIO  /  Septembre 2026 · Version 1.2</w:t>
      </w:r>
    </w:p>
    <w:p>
      <w:pPr>
        <w:pStyle w:val="Title"/>
      </w:pPr>
      <w:r>
        <w:t xml:space="preserve">Fiche d’évaluation d’un fournisseur IA</w:t>
      </w:r>
    </w:p>
    <w:p>
      <w:pPr>
        <w:pStyle w:val="Heading1"/>
      </w:pPr>
      <w:r>
        <w:t xml:space="preserve">03  Vérifier les contrôles et la revue</w:t>
      </w:r>
    </w:p>
    <w:p>
      <w:pPr>
        <w:spacing w:after="100"/>
      </w:pPr>
      <w:r>
        <w:t xml:space="preserve">Reliez les engagements du fournisseur à l’utilisation réelle de l’outil dans l’équipe.</w:t>
      </w:r>
    </w:p>
    <w:p>
      <w:pPr>
        <w:keepNext/>
        <w:spacing w:after="50" w:before="140"/>
      </w:pPr>
      <w:r>
        <w:rPr>
          <w:b/>
          <w:bCs/>
        </w:rPr>
        <w:t xml:space="preserve">Accès et sécurité</w:t>
      </w:r>
    </w:p>
    <w:p>
      <w:pPr>
        <w:keepNext/>
        <w:spacing w:after="40"/>
      </w:pPr>
      <w:r>
        <w:t xml:space="preserve">Démontrer les permissions d’outils/données autorisées et refusées dans la configuration prévue. Identifier titulaire du compte, authentification, responsable habilité et preuves d’application technique.</w:t>
      </w:r>
    </w:p>
    <w:p>
      <w:pPr>
        <w:pBdr>
          <w:bottom w:val="single" w:color="9DB6C9" w:sz="3"/>
        </w:pBdr>
        <w:spacing w:after="15" w:line="240"/>
      </w:pPr>
    </w:p>
    <w:p>
      <w:pPr>
        <w:pBdr>
          <w:bottom w:val="single" w:color="9DB6C9" w:sz="3"/>
        </w:pBdr>
        <w:spacing w:after="15" w:line="240"/>
      </w:pPr>
    </w:p>
    <w:p>
      <w:pPr>
        <w:pBdr>
          <w:bottom w:val="single" w:color="9DB6C9" w:sz="3"/>
        </w:pBdr>
        <w:spacing w:after="15" w:line="240"/>
      </w:pPr>
    </w:p>
    <w:p>
      <w:pPr>
        <w:keepNext/>
        <w:spacing w:after="50" w:before="140"/>
      </w:pPr>
      <w:r>
        <w:rPr>
          <w:b/>
          <w:bCs/>
        </w:rPr>
        <w:t xml:space="preserve">Revue humaine et traçabilité</w:t>
      </w:r>
    </w:p>
    <w:p>
      <w:pPr>
        <w:keepNext/>
        <w:spacing w:after="40"/>
      </w:pPr>
      <w:r>
        <w:t xml:space="preserve">Présenter sources et action/cible effectives avant approbation. Démontrer le refus sans approbation et des journaux exportables reliant agent, approbateur, action, résultat et exceptions.</w:t>
      </w:r>
    </w:p>
    <w:p>
      <w:pPr>
        <w:pBdr>
          <w:bottom w:val="single" w:color="9DB6C9" w:sz="3"/>
        </w:pBdr>
        <w:spacing w:after="15" w:line="240"/>
      </w:pPr>
    </w:p>
    <w:p>
      <w:pPr>
        <w:pBdr>
          <w:bottom w:val="single" w:color="9DB6C9" w:sz="3"/>
        </w:pBdr>
        <w:spacing w:after="15" w:line="240"/>
      </w:pPr>
    </w:p>
    <w:p>
      <w:pPr>
        <w:pBdr>
          <w:bottom w:val="single" w:color="9DB6C9" w:sz="3"/>
        </w:pBdr>
        <w:spacing w:after="15" w:line="240"/>
      </w:pPr>
    </w:p>
    <w:p>
      <w:pPr>
        <w:keepNext/>
        <w:spacing w:after="50" w:before="140"/>
      </w:pPr>
      <w:r>
        <w:rPr>
          <w:b/>
          <w:bCs/>
        </w:rPr>
        <w:t xml:space="preserve">Changements et incidents</w:t>
      </w:r>
    </w:p>
    <w:p>
      <w:pPr>
        <w:keepNext/>
        <w:spacing w:after="40"/>
      </w:pPr>
      <w:r>
        <w:t xml:space="preserve">Démontrer révocation des accès délégués, traitement des actions en attente/en cours et reprise. Convenir des avis de changement et d’incident, contacts d’escalade et responsable de la réautorisation.</w:t>
      </w:r>
    </w:p>
    <w:p>
      <w:pPr>
        <w:pBdr>
          <w:bottom w:val="single" w:color="9DB6C9" w:sz="3"/>
        </w:pBdr>
        <w:spacing w:after="15" w:line="240"/>
      </w:pPr>
    </w:p>
    <w:p>
      <w:pPr>
        <w:pBdr>
          <w:bottom w:val="single" w:color="9DB6C9" w:sz="3"/>
        </w:pBdr>
        <w:spacing w:after="15" w:line="240"/>
      </w:pPr>
    </w:p>
    <w:p>
      <w:pPr>
        <w:pBdr>
          <w:bottom w:val="single" w:color="9DB6C9" w:sz="3"/>
        </w:pBdr>
        <w:spacing w:after="15" w:line="240"/>
      </w:pPr>
    </w:p>
    <w:p>
      <w:pPr>
        <w:keepNext/>
        <w:spacing w:after="50" w:before="140"/>
      </w:pPr>
      <w:r>
        <w:rPr>
          <w:b/>
          <w:bCs/>
        </w:rPr>
        <w:t xml:space="preserve">Preuves manquantes</w:t>
      </w:r>
    </w:p>
    <w:p>
      <w:pPr>
        <w:keepNext/>
        <w:spacing w:after="40"/>
      </w:pPr>
      <w:r>
        <w:t xml:space="preserve">Quelles questions restent ouvertes, quelles preuves faut-il obtenir, par qui et pour quand ?</w:t>
      </w:r>
    </w:p>
    <w:p>
      <w:pPr>
        <w:pBdr>
          <w:bottom w:val="single" w:color="9DB6C9" w:sz="3"/>
        </w:pBdr>
        <w:spacing w:after="15" w:line="240"/>
      </w:pPr>
    </w:p>
    <w:p>
      <w:pPr>
        <w:pBdr>
          <w:bottom w:val="single" w:color="9DB6C9" w:sz="3"/>
        </w:pBdr>
        <w:spacing w:after="15" w:line="240"/>
      </w:pPr>
    </w:p>
    <w:p>
      <w:pPr>
        <w:pBdr>
          <w:bottom w:val="single" w:color="9DB6C9" w:sz="3"/>
        </w:pBdr>
        <w:spacing w:after="15" w:line="240"/>
      </w:pPr>
    </w:p>
    <w:p>
      <w:r>
        <w:br w:type="page"/>
      </w:r>
    </w:p>
    <w:p>
      <w:pPr>
        <w:spacing w:after="180"/>
      </w:pPr>
      <w:r>
        <w:rPr>
          <w:color w:val="46586B"/>
          <w:sz w:val="17"/>
          <w:szCs w:val="17"/>
        </w:rPr>
        <w:t xml:space="preserve">ADA STUDIO  /  Septembre 2026 · Version 1.2</w:t>
      </w:r>
    </w:p>
    <w:p>
      <w:pPr>
        <w:pStyle w:val="Title"/>
      </w:pPr>
      <w:r>
        <w:t xml:space="preserve">Fiche d’évaluation d’un fournisseur IA</w:t>
      </w:r>
    </w:p>
    <w:p>
      <w:pPr>
        <w:pStyle w:val="Heading1"/>
      </w:pPr>
      <w:r>
        <w:t xml:space="preserve">04  Décider et assurer le suivi</w:t>
      </w:r>
    </w:p>
    <w:p>
      <w:pPr>
        <w:spacing w:after="100"/>
      </w:pPr>
      <w:r>
        <w:t xml:space="preserve">L’approbation doit porter sur un usage précis et ses conditions.</w:t>
      </w:r>
    </w:p>
    <w:p>
      <w:pPr>
        <w:keepNext/>
        <w:spacing w:after="50" w:before="140"/>
      </w:pPr>
      <w:r>
        <w:rPr>
          <w:b/>
          <w:bCs/>
        </w:rPr>
        <w:t xml:space="preserve">Limites de l’essai</w:t>
      </w:r>
    </w:p>
    <w:p>
      <w:pPr>
        <w:keepNext/>
        <w:spacing w:after="40"/>
      </w:pPr>
      <w:r>
        <w:t xml:space="preserve">Précisez les utilisateurs, données, durée, critères de réussite et situations imposant une pause.</w:t>
      </w:r>
    </w:p>
    <w:p>
      <w:pPr>
        <w:pBdr>
          <w:bottom w:val="single" w:color="9DB6C9" w:sz="3"/>
        </w:pBdr>
        <w:spacing w:after="15" w:line="240"/>
      </w:pPr>
    </w:p>
    <w:p>
      <w:pPr>
        <w:pBdr>
          <w:bottom w:val="single" w:color="9DB6C9" w:sz="3"/>
        </w:pBdr>
        <w:spacing w:after="15" w:line="240"/>
      </w:pPr>
    </w:p>
    <w:p>
      <w:pPr>
        <w:pBdr>
          <w:bottom w:val="single" w:color="9DB6C9" w:sz="3"/>
        </w:pBdr>
        <w:spacing w:after="15" w:line="240"/>
      </w:pPr>
    </w:p>
    <w:p>
      <w:pPr>
        <w:keepNext/>
        <w:spacing w:after="50" w:before="140"/>
      </w:pPr>
      <w:r>
        <w:rPr>
          <w:b/>
          <w:bCs/>
        </w:rPr>
        <w:t xml:space="preserve">Décision et motifs</w:t>
      </w:r>
    </w:p>
    <w:p>
      <w:pPr>
        <w:keepNext/>
        <w:spacing w:after="40"/>
      </w:pPr>
      <w:r>
        <w:t xml:space="preserve">Choisissez : poursuivre, poursuivre sous conditions, reporter ou refuser. Consignez les motifs et les autres options examinées.</w:t>
      </w:r>
    </w:p>
    <w:p>
      <w:pPr>
        <w:pBdr>
          <w:bottom w:val="single" w:color="9DB6C9" w:sz="3"/>
        </w:pBdr>
        <w:spacing w:after="15" w:line="240"/>
      </w:pPr>
    </w:p>
    <w:p>
      <w:pPr>
        <w:pBdr>
          <w:bottom w:val="single" w:color="9DB6C9" w:sz="3"/>
        </w:pBdr>
        <w:spacing w:after="15" w:line="240"/>
      </w:pPr>
    </w:p>
    <w:p>
      <w:pPr>
        <w:pBdr>
          <w:bottom w:val="single" w:color="9DB6C9" w:sz="3"/>
        </w:pBdr>
        <w:spacing w:after="15" w:line="240"/>
      </w:pPr>
    </w:p>
    <w:p>
      <w:pPr>
        <w:keepNext/>
        <w:spacing w:after="50" w:before="140"/>
      </w:pPr>
      <w:r>
        <w:rPr>
          <w:b/>
          <w:bCs/>
        </w:rPr>
        <w:t xml:space="preserve">Actions et responsabilités</w:t>
      </w:r>
    </w:p>
    <w:p>
      <w:pPr>
        <w:keepNext/>
        <w:spacing w:after="40"/>
      </w:pPr>
      <w:r>
        <w:t xml:space="preserve">Pour chaque condition, indiquez un responsable, une échéance et une preuve de réalisation. Ajoutez des lignes si nécessaire.</w:t>
      </w:r>
    </w:p>
    <w:p>
      <w:pPr>
        <w:pBdr>
          <w:bottom w:val="single" w:color="9DB6C9" w:sz="3"/>
        </w:pBdr>
        <w:spacing w:after="15" w:line="240"/>
      </w:pPr>
    </w:p>
    <w:p>
      <w:pPr>
        <w:pBdr>
          <w:bottom w:val="single" w:color="9DB6C9" w:sz="3"/>
        </w:pBdr>
        <w:spacing w:after="15" w:line="240"/>
      </w:pPr>
    </w:p>
    <w:p>
      <w:pPr>
        <w:pBdr>
          <w:bottom w:val="single" w:color="9DB6C9" w:sz="3"/>
        </w:pBdr>
        <w:spacing w:after="15" w:line="240"/>
      </w:pPr>
    </w:p>
    <w:p>
      <w:pPr>
        <w:keepNext/>
        <w:spacing w:after="50" w:before="140"/>
      </w:pPr>
      <w:r>
        <w:rPr>
          <w:b/>
          <w:bCs/>
        </w:rPr>
        <w:t xml:space="preserve">Approbation et réexamen</w:t>
      </w:r>
    </w:p>
    <w:p>
      <w:pPr>
        <w:keepNext/>
        <w:spacing w:after="40"/>
      </w:pPr>
      <w:r>
        <w:t xml:space="preserve">Consigner approbateur, date de décision et prochaine revue. Réévaluer les changements substantiels de finalité, données, outils, permissions, autonomie, modèle ou fournisseur avant fonctionnement modifié.</w:t>
      </w:r>
    </w:p>
    <w:p>
      <w:pPr>
        <w:pBdr>
          <w:bottom w:val="single" w:color="9DB6C9" w:sz="3"/>
        </w:pBdr>
        <w:spacing w:after="15" w:line="240"/>
      </w:pPr>
    </w:p>
    <w:p>
      <w:pPr>
        <w:pBdr>
          <w:bottom w:val="single" w:color="9DB6C9" w:sz="3"/>
        </w:pBdr>
        <w:spacing w:after="15" w:line="240"/>
      </w:pPr>
    </w:p>
    <w:p>
      <w:pPr>
        <w:pBdr>
          <w:bottom w:val="single" w:color="9DB6C9" w:sz="3"/>
        </w:pBdr>
        <w:spacing w:after="15" w:line="240"/>
      </w:pPr>
    </w:p>
    <w:p>
      <w:r>
        <w:br w:type="page"/>
      </w:r>
    </w:p>
    <w:p>
      <w:pPr>
        <w:spacing w:after="180"/>
      </w:pPr>
      <w:r>
        <w:rPr>
          <w:color w:val="46586B"/>
          <w:sz w:val="17"/>
          <w:szCs w:val="17"/>
        </w:rPr>
        <w:t xml:space="preserve">ADA STUDIO  /  Septembre 2026 · Version 1.2</w:t>
      </w:r>
    </w:p>
    <w:p>
      <w:pPr>
        <w:pStyle w:val="Title"/>
      </w:pPr>
      <w:r>
        <w:t xml:space="preserve">Fiche d’évaluation d’un fournisseur IA</w:t>
      </w:r>
    </w:p>
    <w:p>
      <w:pPr>
        <w:pStyle w:val="Heading1"/>
      </w:pPr>
      <w:r>
        <w:t xml:space="preserve">05  Comparer les options d’approvisionnement</w:t>
      </w:r>
    </w:p>
    <w:p>
      <w:pPr>
        <w:spacing w:after="100"/>
      </w:pPr>
      <w:r>
        <w:t xml:space="preserve">Évaluez l’adéquation métier et le coût complet avec des preuves pour chaque option.</w:t>
      </w:r>
    </w:p>
    <w:p>
      <w:pPr>
        <w:keepNext/>
        <w:spacing w:after="50" w:before="140"/>
      </w:pPr>
      <w:r>
        <w:rPr>
          <w:b/>
          <w:bCs/>
        </w:rPr>
        <w:t xml:space="preserve">Adéquation métier et alternatives</w:t>
      </w:r>
    </w:p>
    <w:p>
      <w:pPr>
        <w:keepNext/>
        <w:spacing w:after="40"/>
      </w:pPr>
      <w:r>
        <w:t xml:space="preserve">Comparez achat, développement, partenariat et processus manuel selon le même objectif métier et les mêmes critères d’acceptation.</w:t>
      </w:r>
    </w:p>
    <w:p>
      <w:pPr>
        <w:pBdr>
          <w:bottom w:val="single" w:color="9DB6C9" w:sz="3"/>
        </w:pBdr>
        <w:spacing w:after="15" w:line="240"/>
      </w:pPr>
    </w:p>
    <w:p>
      <w:pPr>
        <w:pBdr>
          <w:bottom w:val="single" w:color="9DB6C9" w:sz="3"/>
        </w:pBdr>
        <w:spacing w:after="15" w:line="240"/>
      </w:pPr>
    </w:p>
    <w:p>
      <w:pPr>
        <w:pBdr>
          <w:bottom w:val="single" w:color="9DB6C9" w:sz="3"/>
        </w:pBdr>
        <w:spacing w:after="15" w:line="240"/>
      </w:pPr>
    </w:p>
    <w:p>
      <w:pPr>
        <w:keepNext/>
        <w:spacing w:after="50" w:before="140"/>
      </w:pPr>
      <w:r>
        <w:rPr>
          <w:b/>
          <w:bCs/>
        </w:rPr>
        <w:t xml:space="preserve">Coût total</w:t>
      </w:r>
    </w:p>
    <w:p>
      <w:pPr>
        <w:keepNext/>
        <w:spacing w:after="40"/>
      </w:pPr>
      <w:r>
        <w:t xml:space="preserve">Estimez installation, licences, intégration, formation, revue humaine, support, maintenance et sortie. Consignez hypothèses et incertitudes.</w:t>
      </w:r>
    </w:p>
    <w:p>
      <w:pPr>
        <w:pBdr>
          <w:bottom w:val="single" w:color="9DB6C9" w:sz="3"/>
        </w:pBdr>
        <w:spacing w:after="15" w:line="240"/>
      </w:pPr>
    </w:p>
    <w:p>
      <w:pPr>
        <w:pBdr>
          <w:bottom w:val="single" w:color="9DB6C9" w:sz="3"/>
        </w:pBdr>
        <w:spacing w:after="15" w:line="240"/>
      </w:pPr>
    </w:p>
    <w:p>
      <w:pPr>
        <w:pBdr>
          <w:bottom w:val="single" w:color="9DB6C9" w:sz="3"/>
        </w:pBdr>
        <w:spacing w:after="15" w:line="240"/>
      </w:pPr>
    </w:p>
    <w:p>
      <w:pPr>
        <w:keepNext/>
        <w:spacing w:after="50" w:before="140"/>
      </w:pPr>
      <w:r>
        <w:rPr>
          <w:b/>
          <w:bCs/>
        </w:rPr>
        <w:t xml:space="preserve">Compatibilité et support</w:t>
      </w:r>
    </w:p>
    <w:p>
      <w:pPr>
        <w:keepNext/>
        <w:spacing w:after="40"/>
      </w:pPr>
      <w:r>
        <w:t xml:space="preserve">Vérifiez formats de données, intégrations, capacités, conditions de support, contacts d’escalade et preuves manquantes avec les spécialistes techniques.</w:t>
      </w:r>
    </w:p>
    <w:p>
      <w:pPr>
        <w:pBdr>
          <w:bottom w:val="single" w:color="9DB6C9" w:sz="3"/>
        </w:pBdr>
        <w:spacing w:after="15" w:line="240"/>
      </w:pPr>
    </w:p>
    <w:p>
      <w:pPr>
        <w:pBdr>
          <w:bottom w:val="single" w:color="9DB6C9" w:sz="3"/>
        </w:pBdr>
        <w:spacing w:after="15" w:line="240"/>
      </w:pPr>
    </w:p>
    <w:p>
      <w:pPr>
        <w:pBdr>
          <w:bottom w:val="single" w:color="9DB6C9" w:sz="3"/>
        </w:pBdr>
        <w:spacing w:after="15" w:line="240"/>
      </w:pPr>
    </w:p>
    <w:p>
      <w:pPr>
        <w:keepNext/>
        <w:spacing w:after="50" w:before="140"/>
      </w:pPr>
      <w:r>
        <w:rPr>
          <w:b/>
          <w:bCs/>
        </w:rPr>
        <w:t xml:space="preserve">Modalités de sortie</w:t>
      </w:r>
    </w:p>
    <w:p>
      <w:pPr>
        <w:keepNext/>
        <w:spacing w:after="40"/>
      </w:pPr>
      <w:r>
        <w:t xml:space="preserve">Tester export utilisable des données et journaux, révocation des accès et identifiants, preuves de suppression et solution manuelle. Consigner migration, dépendances, préavis, assistance et modalités de reprise.</w:t>
      </w:r>
    </w:p>
    <w:p>
      <w:pPr>
        <w:pBdr>
          <w:bottom w:val="single" w:color="9DB6C9" w:sz="3"/>
        </w:pBdr>
        <w:spacing w:after="15" w:line="240"/>
      </w:pPr>
    </w:p>
    <w:p>
      <w:pPr>
        <w:pBdr>
          <w:bottom w:val="single" w:color="9DB6C9" w:sz="3"/>
        </w:pBdr>
        <w:spacing w:after="15" w:line="240"/>
      </w:pPr>
    </w:p>
    <w:p>
      <w:pPr>
        <w:pBdr>
          <w:bottom w:val="single" w:color="9DB6C9" w:sz="3"/>
        </w:pBdr>
        <w:spacing w:after="15" w:line="240"/>
      </w:pPr>
    </w:p>
    <w:p>
      <w:pPr>
        <w:spacing w:before="180"/>
      </w:pPr>
      <w:r>
        <w:t xml:space="preserve">Lecture complémentaire: https://adastudio.ch/fr/blog/ai-vendor-review-before-procurement</w:t>
      </w:r>
    </w:p>
    <w:p>
      <w:pPr>
        <w:spacing w:before="100"/>
      </w:pPr>
      <w:r>
        <w:t xml:space="preserve">Vous pouvez utiliser et adapter cette fiche dans votre organisation. Conservez la mention de source lorsque vous partagez une copie non modifiée.</w:t>
      </w:r>
    </w:p>
    <w:sectPr>
      <w:footerReference w:type="default" r:id="rId7"/>
      <w:pgSz w:w="11906" w:h="16838" w:orient="portrait"/>
      <w:pgMar w:top="850" w:right="880" w:bottom="850" w:left="8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sz w:val="16"/>
        <w:szCs w:val="16"/>
      </w:rPr>
      <w:t xml:space="preserve">Ada Studio · adastudio.ch   </w:t>
    </w:r>
    <w:r>
      <w:rPr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243A4D"/>
        <w:sz w:val="20"/>
        <w:szCs w:val="20"/>
        <w:lang w:val="fr-CH"/>
      </w:rPr>
    </w:rPrDefault>
    <w:pPrDefault>
      <w:pPr>
        <w:spacing w:after="9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next w:val="Normal"/>
    <w:pPr>
      <w:keepNext/>
      <w:spacing w:after="160"/>
    </w:pPr>
    <w:rPr>
      <w:rFonts w:ascii="Times New Roman" w:cs="Times New Roman" w:eastAsia="Times New Roman" w:hAnsi="Times New Roman"/>
      <w:color w:val="243A4D"/>
      <w:sz w:val="44"/>
      <w:szCs w:val="44"/>
    </w:rPr>
  </w:style>
  <w:style w:type="paragraph" w:styleId="Heading1">
    <w:name w:val="Heading 1"/>
    <w:basedOn w:val="Normal"/>
    <w:next w:val="Normal"/>
    <w:pPr>
      <w:keepNext/>
      <w:spacing w:after="100" w:before="160"/>
    </w:pPr>
    <w:rPr>
      <w:b/>
      <w:bCs/>
      <w:color w:val="243A4D"/>
      <w:sz w:val="27"/>
      <w:szCs w:val="27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Fiche d’évaluation d’un fournisseur IA</dc:title>
  <dc:creator>Ada Studio</dc:creator>
  <dc:description>Évaluer fournisseurs IA et permissions des agents IA avant achat : coût total, preuves d’activité, révocation et sortie.</dc:description>
  <cp:lastModifiedBy>Un-named</cp:lastModifiedBy>
  <cp:revision>1</cp:revision>
  <dcterms:created xsi:type="dcterms:W3CDTF">2026-09-13T15:59:27.372Z</dcterms:created>
  <dcterms:modified xsi:type="dcterms:W3CDTF">2026-09-13T15:59:27.372Z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